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A" w:rsidRDefault="0046415A" w:rsidP="0049520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95204">
        <w:rPr>
          <w:b/>
          <w:color w:val="000000"/>
          <w:sz w:val="28"/>
          <w:szCs w:val="28"/>
        </w:rPr>
        <w:t>Статья 64. Права и обязанности родителей по защите прав и интересов детей</w:t>
      </w:r>
    </w:p>
    <w:p w:rsidR="00495204" w:rsidRPr="00495204" w:rsidRDefault="00495204" w:rsidP="00495204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1.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 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Комментарий к</w:t>
      </w:r>
      <w:proofErr w:type="gramStart"/>
      <w:r w:rsidRPr="00495204">
        <w:rPr>
          <w:color w:val="000000"/>
          <w:sz w:val="28"/>
          <w:szCs w:val="28"/>
        </w:rPr>
        <w:t xml:space="preserve"> С</w:t>
      </w:r>
      <w:proofErr w:type="gramEnd"/>
      <w:r w:rsidRPr="00495204">
        <w:rPr>
          <w:color w:val="000000"/>
          <w:sz w:val="28"/>
          <w:szCs w:val="28"/>
        </w:rPr>
        <w:t>т. 64 СК РФ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1. Защита прав и интересов детей включает в себя установленные законом формы и способы восстановления нарушенных прав ребенка, а также принятие мер по предотвращению таких нарушений.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Родители обязаны защищать не только те права детей, которые предусмотрены семейным законодательством, в частности гл. 11 СК РФ, но и гражданские, административные и др. Родители выступают в гражданских, административных и других правоотношениях в качестве представителей своих детей и выражают их интересы. Так, в соответствии с п. 5 ст. 286 ТК РФ товары несовершеннолетнего лица в возрасте до 16 лет декларируются одним из родителей, усыновителем, опекуном или попечителем, его сопровождающим.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 xml:space="preserve">В гражданском праве родители защищают интересы детей путем совершения сделок и других юридических действий. Так, согласно п. 1 ст. 26 ГК РФ несовершеннолетние в возрасте от 14 до 18 лет совершают сделки, за </w:t>
      </w:r>
      <w:proofErr w:type="gramStart"/>
      <w:r w:rsidRPr="00495204">
        <w:rPr>
          <w:color w:val="000000"/>
          <w:sz w:val="28"/>
          <w:szCs w:val="28"/>
        </w:rPr>
        <w:t>исключением</w:t>
      </w:r>
      <w:proofErr w:type="gramEnd"/>
      <w:r w:rsidRPr="00495204">
        <w:rPr>
          <w:color w:val="000000"/>
          <w:sz w:val="28"/>
          <w:szCs w:val="28"/>
        </w:rPr>
        <w:t xml:space="preserve"> названных в п. 2 ст. 26 ГК РФ, с письменного согласия</w:t>
      </w:r>
      <w:r w:rsidR="0058724F" w:rsidRPr="00495204">
        <w:rPr>
          <w:color w:val="000000"/>
          <w:sz w:val="28"/>
          <w:szCs w:val="28"/>
        </w:rPr>
        <w:t xml:space="preserve"> своих законных представителей -</w:t>
      </w:r>
      <w:r w:rsidRPr="00495204">
        <w:rPr>
          <w:color w:val="000000"/>
          <w:sz w:val="28"/>
          <w:szCs w:val="28"/>
        </w:rPr>
        <w:t xml:space="preserve"> родителей, усыновителей или попечителя. В соответствии с п. 1 ст. 28 ГК РФ за несовершеннолетних, не достигших возраста 14 лет (малолетних), сделки, за исключением указанных в п. 2 ст. 28 ГК РФ, могут совершать от их имени только их родители, усыновители или опекуны.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 xml:space="preserve">Статья 1167 ГК РФ определяет особенности защиты наследственных прав несовершеннолетних. При наличии среди наследников несовершеннолетних граждан раздел наследства осуществляется с соблюдением правил ст. 37 ГК РФ. В целях охраны законных интересов указанных наследников о составлении соглашения о разделе наследства (ст. 1165 ГК) и о рассмотрении в суде дела о разделе наследства должен быть уведомлен орган опеки и попечительства. </w:t>
      </w:r>
      <w:proofErr w:type="gramStart"/>
      <w:r w:rsidRPr="00495204">
        <w:rPr>
          <w:color w:val="000000"/>
          <w:sz w:val="28"/>
          <w:szCs w:val="28"/>
        </w:rPr>
        <w:t xml:space="preserve">Так, родители не вправе без предварительного разрешения органа опеки и попечительства совершать или давать согласие на совершение сделок по отчуждению, в том числе обмену или дарению имущества ребенка, сдаче его внаем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</w:t>
      </w:r>
      <w:r w:rsidRPr="00495204">
        <w:rPr>
          <w:color w:val="000000"/>
          <w:sz w:val="28"/>
          <w:szCs w:val="28"/>
        </w:rPr>
        <w:lastRenderedPageBreak/>
        <w:t>сделок, влекущих</w:t>
      </w:r>
      <w:proofErr w:type="gramEnd"/>
      <w:r w:rsidRPr="00495204">
        <w:rPr>
          <w:color w:val="000000"/>
          <w:sz w:val="28"/>
          <w:szCs w:val="28"/>
        </w:rPr>
        <w:t xml:space="preserve"> уменьшение имущества ребенка. Родители, их супруги и близкие родственники не вправе совершать сделки с ребенком, за исключением передачи имущества ребенку в качестве дара или в безвозмездное пользование, а также представлять ребенка при заключении сделок или ведении судебных дел между ребенком и близкими родственниками родителей.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 xml:space="preserve">2. О способах защиты семейных прав </w:t>
      </w:r>
      <w:proofErr w:type="gramStart"/>
      <w:r w:rsidRPr="00495204">
        <w:rPr>
          <w:color w:val="000000"/>
          <w:sz w:val="28"/>
          <w:szCs w:val="28"/>
        </w:rPr>
        <w:t>см</w:t>
      </w:r>
      <w:proofErr w:type="gramEnd"/>
      <w:r w:rsidRPr="00495204">
        <w:rPr>
          <w:color w:val="000000"/>
          <w:sz w:val="28"/>
          <w:szCs w:val="28"/>
        </w:rPr>
        <w:t>. комментарий к ст. 8 СК РФ.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3. Институт защиты прав несовершеннолетних включает в себя не только материальные, но и процессуальные нормы. Так, ст. 37 ГПК РФ определяет, что права, свободы и законные интересы несовершеннолетних в возрасте от 14 до 18 лет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 (</w:t>
      </w:r>
      <w:proofErr w:type="gramStart"/>
      <w:r w:rsidRPr="00495204">
        <w:rPr>
          <w:color w:val="000000"/>
          <w:sz w:val="28"/>
          <w:szCs w:val="28"/>
        </w:rPr>
        <w:t>ч</w:t>
      </w:r>
      <w:proofErr w:type="gramEnd"/>
      <w:r w:rsidRPr="00495204">
        <w:rPr>
          <w:color w:val="000000"/>
          <w:sz w:val="28"/>
          <w:szCs w:val="28"/>
        </w:rPr>
        <w:t>. 3 ст. 37 ГПК).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 xml:space="preserve">В случаях, предусмотренных федеральным </w:t>
      </w:r>
      <w:proofErr w:type="gramStart"/>
      <w:r w:rsidRPr="00495204">
        <w:rPr>
          <w:color w:val="000000"/>
          <w:sz w:val="28"/>
          <w:szCs w:val="28"/>
        </w:rPr>
        <w:t>законом, по делам</w:t>
      </w:r>
      <w:proofErr w:type="gramEnd"/>
      <w:r w:rsidRPr="00495204">
        <w:rPr>
          <w:color w:val="000000"/>
          <w:sz w:val="28"/>
          <w:szCs w:val="28"/>
        </w:rPr>
        <w:t>, возникающим из гражданских, семейных, трудовых, публичных и иных правоотношений, несовершеннолетние в возрасте от 14 до 18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 Например, ребенок, достигший возраста 16 лет, может обратиться в суд с заявлением об эмансипации, несовершеннолетняя мать, достигшая возраста 14 лет, вправе подать исковое заявление об установлении отцовства.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Права, свободы и законные интересы несовершеннолетних, не достигших возраста 14 лет, а также граждан, признанных недееспособными, защищают в проце</w:t>
      </w:r>
      <w:r w:rsidR="0058724F" w:rsidRPr="00495204">
        <w:rPr>
          <w:color w:val="000000"/>
          <w:sz w:val="28"/>
          <w:szCs w:val="28"/>
        </w:rPr>
        <w:t>ссе их законные представители -</w:t>
      </w:r>
      <w:r w:rsidRPr="00495204">
        <w:rPr>
          <w:color w:val="000000"/>
          <w:sz w:val="28"/>
          <w:szCs w:val="28"/>
        </w:rPr>
        <w:t xml:space="preserve"> родители, усыновители, опекуны, попечители или иные лица, которым это право предоставлено федеральным законом (</w:t>
      </w:r>
      <w:proofErr w:type="gramStart"/>
      <w:r w:rsidRPr="00495204">
        <w:rPr>
          <w:color w:val="000000"/>
          <w:sz w:val="28"/>
          <w:szCs w:val="28"/>
        </w:rPr>
        <w:t>ч</w:t>
      </w:r>
      <w:proofErr w:type="gramEnd"/>
      <w:r w:rsidRPr="00495204">
        <w:rPr>
          <w:color w:val="000000"/>
          <w:sz w:val="28"/>
          <w:szCs w:val="28"/>
        </w:rPr>
        <w:t>. 5 ст. 37 ГПК).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4. Пункт 2 комментируемой статьи запрещает родителям представлять интересы ребенка, если между родителями и детьми имеются противоречия.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По смыслу п. 2 комментируемой статьи в качестве представителя ребенка может выступать назначенный органом опеки и попечительства родственник ребенка, или иное лицо, интересы которого не вступают в противоречие с интересами ребенка, или работник органа опеки и попечительства. Таким представителем в соответствии с письмом Минобразования России от 29 марта 2002 г. N 483/28-5 «Об организации работы по передаче детей на воспитание в семьи, организации работы по осуществлению опеки (попечительства) над детьми» может стать социальный работник, общественный инспектор, утвержденный в установленном порядке и полномочный оказать необходимую помощь.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 xml:space="preserve">Как отмечается в письме </w:t>
      </w:r>
      <w:proofErr w:type="spellStart"/>
      <w:r w:rsidRPr="00495204">
        <w:rPr>
          <w:color w:val="000000"/>
          <w:sz w:val="28"/>
          <w:szCs w:val="28"/>
        </w:rPr>
        <w:t>Минобрнауки</w:t>
      </w:r>
      <w:proofErr w:type="spellEnd"/>
      <w:r w:rsidRPr="00495204">
        <w:rPr>
          <w:color w:val="000000"/>
          <w:sz w:val="28"/>
          <w:szCs w:val="28"/>
        </w:rPr>
        <w:t xml:space="preserve"> России от 10 марта 2009 г. N 06-224 «Об организации в субъектах Российской Федерации работы по профилактике жестокого обращения с детьми» &lt;1&gt;, данная норма может играть важную роль в профилактике насилия над детьми в семье, однако на практике она в настоящее время применяется редко.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lastRenderedPageBreak/>
        <w:t>Вестник образования. 2009. N 12.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5. Упоминаемая в комментируемой статье категория «интересы ребенка» не определена законодателем. В науке встречаются разные понятия этого термина, в частности: «это то, что следует защищать, обеспечивать, учитывать» &lt;1&gt;.</w:t>
      </w:r>
    </w:p>
    <w:p w:rsidR="0046415A" w:rsidRPr="00495204" w:rsidRDefault="00495204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 w:rsidR="0046415A" w:rsidRPr="00495204">
        <w:rPr>
          <w:color w:val="000000"/>
          <w:sz w:val="28"/>
          <w:szCs w:val="28"/>
        </w:rPr>
        <w:t>Малинова</w:t>
      </w:r>
      <w:proofErr w:type="spellEnd"/>
      <w:r w:rsidR="0046415A" w:rsidRPr="00495204">
        <w:rPr>
          <w:color w:val="000000"/>
          <w:sz w:val="28"/>
          <w:szCs w:val="28"/>
        </w:rPr>
        <w:t xml:space="preserve"> А.Г. Категория «интерес» в семейном праве: </w:t>
      </w:r>
      <w:proofErr w:type="spellStart"/>
      <w:r w:rsidR="0046415A" w:rsidRPr="00495204">
        <w:rPr>
          <w:color w:val="000000"/>
          <w:sz w:val="28"/>
          <w:szCs w:val="28"/>
        </w:rPr>
        <w:t>Автореф</w:t>
      </w:r>
      <w:proofErr w:type="spellEnd"/>
      <w:r w:rsidR="0046415A" w:rsidRPr="00495204">
        <w:rPr>
          <w:color w:val="000000"/>
          <w:sz w:val="28"/>
          <w:szCs w:val="28"/>
        </w:rPr>
        <w:t xml:space="preserve">. </w:t>
      </w:r>
      <w:proofErr w:type="spellStart"/>
      <w:r w:rsidR="0046415A" w:rsidRPr="00495204">
        <w:rPr>
          <w:color w:val="000000"/>
          <w:sz w:val="28"/>
          <w:szCs w:val="28"/>
        </w:rPr>
        <w:t>дис</w:t>
      </w:r>
      <w:proofErr w:type="spellEnd"/>
      <w:r w:rsidR="0046415A" w:rsidRPr="00495204">
        <w:rPr>
          <w:color w:val="000000"/>
          <w:sz w:val="28"/>
          <w:szCs w:val="28"/>
        </w:rPr>
        <w:t xml:space="preserve">. … канд. </w:t>
      </w:r>
      <w:proofErr w:type="spellStart"/>
      <w:r w:rsidR="0046415A" w:rsidRPr="00495204">
        <w:rPr>
          <w:color w:val="000000"/>
          <w:sz w:val="28"/>
          <w:szCs w:val="28"/>
        </w:rPr>
        <w:t>юрид</w:t>
      </w:r>
      <w:proofErr w:type="spellEnd"/>
      <w:r w:rsidR="0046415A" w:rsidRPr="00495204">
        <w:rPr>
          <w:color w:val="000000"/>
          <w:sz w:val="28"/>
          <w:szCs w:val="28"/>
        </w:rPr>
        <w:t>. наук. Екатеринбург, 2003. С. 16.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rFonts w:ascii="Verdana" w:hAnsi="Verdana"/>
          <w:color w:val="000000"/>
          <w:sz w:val="28"/>
          <w:szCs w:val="28"/>
        </w:rPr>
        <w:t> </w:t>
      </w:r>
    </w:p>
    <w:p w:rsidR="0046415A" w:rsidRPr="00495204" w:rsidRDefault="0046415A" w:rsidP="0049520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95204">
        <w:rPr>
          <w:color w:val="000000"/>
          <w:sz w:val="28"/>
          <w:szCs w:val="28"/>
        </w:rPr>
        <w:t>Источник: </w:t>
      </w:r>
      <w:hyperlink r:id="rId4" w:history="1">
        <w:r w:rsidRPr="00495204">
          <w:rPr>
            <w:rStyle w:val="a5"/>
            <w:color w:val="6B80A3"/>
            <w:sz w:val="28"/>
            <w:szCs w:val="28"/>
          </w:rPr>
          <w:t>http://stskrf.ru/64</w:t>
        </w:r>
      </w:hyperlink>
    </w:p>
    <w:p w:rsidR="00C300FA" w:rsidRPr="00495204" w:rsidRDefault="00C300FA" w:rsidP="00495204">
      <w:pPr>
        <w:spacing w:after="0"/>
        <w:ind w:firstLine="709"/>
        <w:rPr>
          <w:sz w:val="28"/>
          <w:szCs w:val="28"/>
        </w:rPr>
      </w:pPr>
    </w:p>
    <w:sectPr w:rsidR="00C300FA" w:rsidRPr="00495204" w:rsidSect="00C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5A"/>
    <w:rsid w:val="0046415A"/>
    <w:rsid w:val="00495204"/>
    <w:rsid w:val="0058724F"/>
    <w:rsid w:val="00BE0E37"/>
    <w:rsid w:val="00C3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15A"/>
    <w:rPr>
      <w:b/>
      <w:bCs/>
    </w:rPr>
  </w:style>
  <w:style w:type="character" w:styleId="a5">
    <w:name w:val="Hyperlink"/>
    <w:basedOn w:val="a0"/>
    <w:uiPriority w:val="99"/>
    <w:semiHidden/>
    <w:unhideWhenUsed/>
    <w:rsid w:val="00464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skrf.ru/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2020-04-25T06:26:00Z</dcterms:created>
  <dcterms:modified xsi:type="dcterms:W3CDTF">2020-05-14T17:35:00Z</dcterms:modified>
</cp:coreProperties>
</file>